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F6E06A"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 w14:paraId="0EF678D5">
          <w:pPr>
            <w:pStyle w:val="2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14:paraId="488F98BE">
          <w:pPr>
            <w:pStyle w:val="10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_Toc17638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_Toc17638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3D3180D"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_Toc9021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_Toc9021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E33897C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_Toc5267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</w:t>
          </w:r>
          <w:r>
            <w:rPr>
              <w:rFonts w:hint="eastAsia"/>
            </w:rPr>
            <w:t>用户设置</w:t>
          </w:r>
          <w:r>
            <w:tab/>
          </w:r>
          <w:r>
            <w:fldChar w:fldCharType="begin"/>
          </w:r>
          <w:r>
            <w:instrText xml:space="preserve"> PAGEREF _Toc5267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A891EC1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_Toc29035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_Toc29035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A3B8256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_Toc1670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_Toc1670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4B8E307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_Toc18878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6A537A0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_Toc10286 </w:instrText>
          </w:r>
          <w:r>
            <w:rPr>
              <w:bCs/>
              <w:lang w:val="zh-CN"/>
            </w:rPr>
            <w:fldChar w:fldCharType="separate"/>
          </w:r>
          <w:r>
            <w:t>2.2师生双选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_Toc10286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2F66EE5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_Toc17799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学生申报课题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如果需要）</w:t>
          </w:r>
          <w:r>
            <w:tab/>
          </w:r>
          <w:r>
            <w:fldChar w:fldCharType="begin"/>
          </w:r>
          <w:r>
            <w:instrText xml:space="preserve"> PAGEREF _Toc17799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47994B1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_Toc28847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A91346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_Toc7693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506DC92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提交开题报告</w:t>
          </w:r>
          <w:r>
            <w:rPr>
              <w:rFonts w:hint="eastAsia"/>
            </w:rPr>
            <w:t>、中期检查、指导记录</w:t>
          </w:r>
          <w:r>
            <w:tab/>
          </w:r>
          <w:r>
            <w:fldChar w:fldCharType="begin"/>
          </w:r>
          <w:r>
            <w:instrText xml:space="preserve"> PAGEREF _Toc8226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D0A0AF8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.1</w:t>
          </w:r>
          <w:r>
            <w:rPr>
              <w:rFonts w:hint="eastAsia"/>
            </w:rPr>
            <w:t>提交</w:t>
          </w:r>
          <w:r>
            <w:t>开题报告</w:t>
          </w:r>
          <w:r>
            <w:tab/>
          </w:r>
          <w:r>
            <w:fldChar w:fldCharType="begin"/>
          </w:r>
          <w:r>
            <w:instrText xml:space="preserve"> PAGEREF _Toc30537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D7349C2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2</w:t>
          </w:r>
          <w:r>
            <w:t>提交中期</w:t>
          </w:r>
          <w:r>
            <w:rPr>
              <w:rFonts w:hint="eastAsia"/>
            </w:rPr>
            <w:t>检查</w:t>
          </w:r>
          <w:r>
            <w:tab/>
          </w:r>
          <w:r>
            <w:fldChar w:fldCharType="begin"/>
          </w:r>
          <w:r>
            <w:instrText xml:space="preserve"> PAGEREF _Toc9683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4BEBD78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_Toc22949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3</w:t>
          </w:r>
          <w:r>
            <w:t>提交指导</w:t>
          </w:r>
          <w:r>
            <w:rPr>
              <w:rFonts w:hint="eastAsia"/>
              <w:lang w:val="en-US" w:eastAsia="zh-CN"/>
            </w:rPr>
            <w:t>情况</w:t>
          </w:r>
          <w:r>
            <w:tab/>
          </w:r>
          <w:r>
            <w:fldChar w:fldCharType="begin"/>
          </w:r>
          <w:r>
            <w:instrText xml:space="preserve"> PAGEREF _Toc22949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EA2896F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_Toc11664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2.4提交毕业设计（论文）</w:t>
          </w:r>
          <w:r>
            <w:rPr>
              <w:rFonts w:hint="eastAsia"/>
              <w:lang w:val="en-US" w:eastAsia="zh-CN"/>
            </w:rPr>
            <w:t>答辩资格审核版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F115D0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5</w:t>
          </w:r>
          <w:r>
            <w:t>提交毕业设计</w:t>
          </w:r>
          <w:r>
            <w:rPr>
              <w:rFonts w:hint="eastAsia"/>
            </w:rPr>
            <w:t>（论文）最终版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需PDF版）</w:t>
          </w:r>
          <w:r>
            <w:tab/>
          </w:r>
          <w:r>
            <w:fldChar w:fldCharType="begin"/>
          </w:r>
          <w:r>
            <w:instrText xml:space="preserve"> PAGEREF _Toc6812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AC11A43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6</w:t>
          </w:r>
          <w:r>
            <w:t>提交毕业设计</w:t>
          </w:r>
          <w:r>
            <w:rPr>
              <w:rFonts w:hint="eastAsia"/>
            </w:rPr>
            <w:t>（论文）盲审版</w:t>
          </w:r>
          <w:r>
            <w:rPr>
              <w:rFonts w:hint="eastAsia" w:asciiTheme="minorEastAsia" w:hAnsiTheme="minorEastAsia"/>
              <w:lang w:eastAsia="zh-CN"/>
            </w:rPr>
            <w:t>（</w:t>
          </w:r>
          <w:r>
            <w:rPr>
              <w:rFonts w:hint="eastAsia" w:asciiTheme="minorEastAsia" w:hAnsiTheme="minorEastAsia"/>
              <w:lang w:val="en-US" w:eastAsia="zh-CN"/>
            </w:rPr>
            <w:t>需PDF版）</w:t>
          </w:r>
          <w:r>
            <w:tab/>
          </w:r>
          <w:r>
            <w:fldChar w:fldCharType="begin"/>
          </w:r>
          <w:r>
            <w:instrText xml:space="preserve"> PAGEREF _Toc13376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79F15D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7</w:t>
          </w:r>
          <w:r>
            <w:rPr>
              <w:rFonts w:hint="eastAsia"/>
              <w:lang w:val="en-US" w:eastAsia="zh-CN"/>
            </w:rPr>
            <w:t xml:space="preserve"> 参与</w:t>
          </w:r>
          <w:r>
            <w:t>答辩</w:t>
          </w:r>
          <w:r>
            <w:tab/>
          </w:r>
          <w:r>
            <w:fldChar w:fldCharType="begin"/>
          </w:r>
          <w:r>
            <w:instrText xml:space="preserve"> PAGEREF _Toc13163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3DDDF16">
          <w:r>
            <w:rPr>
              <w:bCs/>
              <w:lang w:val="zh-CN"/>
            </w:rPr>
            <w:fldChar w:fldCharType="end"/>
          </w:r>
        </w:p>
      </w:sdtContent>
    </w:sdt>
    <w:p w14:paraId="3C5ADABE">
      <w:pPr>
        <w:spacing w:line="276" w:lineRule="auto"/>
      </w:pPr>
    </w:p>
    <w:p w14:paraId="113EF766"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D43ACD9">
      <w:pPr>
        <w:pStyle w:val="2"/>
      </w:pPr>
      <w:bookmarkStart w:id="0" w:name="_Toc17638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 w14:paraId="1DB2936D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228AFC0B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1.1登录系统和用户设置</w:t>
      </w:r>
    </w:p>
    <w:p w14:paraId="05D7EBA8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1.2</w:t>
      </w:r>
      <w:r>
        <w:t>师生双选</w:t>
      </w:r>
      <w:r>
        <w:rPr>
          <w:rFonts w:hint="eastAsia"/>
        </w:rPr>
        <w:t>管理</w:t>
      </w:r>
    </w:p>
    <w:p w14:paraId="2079D0F8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1.3提交开题报告</w:t>
      </w:r>
    </w:p>
    <w:p w14:paraId="128E3257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1.4提交其他过程文档</w:t>
      </w:r>
    </w:p>
    <w:p w14:paraId="11BAA5BC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1.5提交毕业设计（论文）</w:t>
      </w:r>
    </w:p>
    <w:p w14:paraId="67995BA6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1.6提交毕业设计（论文）最终版</w:t>
      </w:r>
    </w:p>
    <w:p w14:paraId="42EC6BF8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1.7参与答辩</w:t>
      </w:r>
    </w:p>
    <w:p w14:paraId="3F0BEA05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1.8查看成绩</w:t>
      </w:r>
    </w:p>
    <w:p w14:paraId="4CCEF602"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213C85">
      <w:pPr>
        <w:pStyle w:val="2"/>
        <w:spacing w:before="312" w:after="156" w:line="276" w:lineRule="auto"/>
      </w:pPr>
      <w:bookmarkStart w:id="1" w:name="_Toc902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 w14:paraId="290084D1">
      <w:pPr>
        <w:pStyle w:val="3"/>
      </w:pPr>
      <w:bookmarkStart w:id="2" w:name="_Toc5267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 w14:paraId="2BAC4E0C">
      <w:pPr>
        <w:pStyle w:val="4"/>
        <w:spacing w:before="156" w:after="156"/>
      </w:pPr>
      <w:bookmarkStart w:id="3" w:name="_Toc29035"/>
      <w:r>
        <w:t>2.1.1登录系统</w:t>
      </w:r>
      <w:bookmarkEnd w:id="3"/>
    </w:p>
    <w:p w14:paraId="1E3DB223">
      <w:pPr>
        <w:spacing w:line="276" w:lineRule="auto"/>
        <w:ind w:firstLine="420" w:firstLineChars="200"/>
        <w:rPr>
          <w:sz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  <w:r>
        <w:rPr>
          <w:sz w:val="24"/>
        </w:rPr>
        <w:t>http://</w:t>
      </w:r>
      <w:r>
        <w:rPr>
          <w:rFonts w:hint="eastAsia"/>
          <w:sz w:val="24"/>
        </w:rPr>
        <w:t>sysu</w:t>
      </w:r>
      <w:r>
        <w:rPr>
          <w:sz w:val="24"/>
        </w:rPr>
        <w:t>.co.cnki.net</w:t>
      </w:r>
    </w:p>
    <w:p w14:paraId="6B839457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 w14:paraId="2357C2BE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 w14:paraId="42375094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 w14:paraId="32099EE4"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73675" cy="2921635"/>
            <wp:effectExtent l="0" t="0" r="952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7958">
      <w:pPr>
        <w:pStyle w:val="4"/>
        <w:spacing w:before="156" w:after="156"/>
      </w:pPr>
      <w:bookmarkStart w:id="4" w:name="_Toc1670"/>
      <w:r>
        <w:t>2.1.2首次登录强制修改密码</w:t>
      </w:r>
      <w:bookmarkEnd w:id="4"/>
    </w:p>
    <w:p w14:paraId="79865F2A">
      <w:pPr>
        <w:rPr>
          <w:b/>
          <w:bCs/>
        </w:rPr>
      </w:pPr>
      <w:r>
        <w:rPr>
          <w:rFonts w:hint="eastAsia"/>
        </w:rPr>
        <w:t>注：</w:t>
      </w:r>
      <w:r>
        <w:rPr>
          <w:rFonts w:hint="eastAsia"/>
          <w:b/>
          <w:bCs/>
        </w:rPr>
        <w:t>首次登录需要输入手机号及验证码</w:t>
      </w:r>
    </w:p>
    <w:p w14:paraId="4AB86CF8">
      <w:pPr>
        <w:spacing w:line="276" w:lineRule="auto"/>
        <w:ind w:firstLine="420" w:firstLineChars="200"/>
        <w:rPr>
          <w:rFonts w:hint="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  <w:r>
        <w:rPr>
          <w:rFonts w:hint="eastAsia"/>
          <w:color w:val="303030"/>
          <w:lang w:eastAsia="zh-CN"/>
        </w:rPr>
        <w:t>（</w:t>
      </w:r>
      <w:r>
        <w:rPr>
          <w:rFonts w:hint="eastAsia"/>
          <w:color w:val="303030"/>
          <w:lang w:val="en-US" w:eastAsia="zh-CN"/>
        </w:rPr>
        <w:t>账号为“学号</w:t>
      </w:r>
      <w:bookmarkStart w:id="22" w:name="_GoBack"/>
      <w:bookmarkEnd w:id="22"/>
      <w:r>
        <w:rPr>
          <w:rFonts w:hint="eastAsia"/>
          <w:color w:val="303030"/>
          <w:lang w:val="en-US" w:eastAsia="zh-CN"/>
        </w:rPr>
        <w:t>”，密码为“js学号”</w:t>
      </w:r>
      <w:r>
        <w:rPr>
          <w:rFonts w:hint="eastAsia"/>
          <w:color w:val="303030"/>
          <w:lang w:eastAsia="zh-CN"/>
        </w:rPr>
        <w:t>）</w:t>
      </w:r>
    </w:p>
    <w:p w14:paraId="0C3D42C9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 w14:paraId="7B04FF01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 w14:paraId="023F738A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23FFE5E6">
      <w:pPr>
        <w:pStyle w:val="4"/>
        <w:spacing w:before="156" w:after="156"/>
      </w:pPr>
      <w:bookmarkStart w:id="5" w:name="_Toc1887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 w14:paraId="71ECFDD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4E16C5D0">
      <w:pPr>
        <w:spacing w:line="276" w:lineRule="auto"/>
        <w:ind w:firstLine="420" w:firstLineChars="200"/>
      </w:pPr>
      <w:r>
        <w:drawing>
          <wp:inline distT="0" distB="0" distL="114300" distR="114300">
            <wp:extent cx="5273675" cy="24130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E828">
      <w:pPr>
        <w:pStyle w:val="3"/>
      </w:pPr>
      <w:bookmarkStart w:id="6" w:name="_Toc10286"/>
      <w:r>
        <w:t>2.2师生双选</w:t>
      </w:r>
      <w:r>
        <w:rPr>
          <w:rFonts w:hint="eastAsia"/>
        </w:rPr>
        <w:t>管理</w:t>
      </w:r>
      <w:bookmarkEnd w:id="6"/>
    </w:p>
    <w:p w14:paraId="3CEE3C24">
      <w:pPr>
        <w:pStyle w:val="4"/>
        <w:spacing w:before="156" w:after="156"/>
        <w:rPr>
          <w:rFonts w:hint="default" w:eastAsia="宋体"/>
          <w:lang w:val="en-US" w:eastAsia="zh-CN"/>
        </w:rPr>
      </w:pPr>
      <w:bookmarkStart w:id="7" w:name="_Toc17799"/>
      <w:r>
        <w:t>2.2.1</w:t>
      </w:r>
      <w:r>
        <w:rPr>
          <w:rFonts w:hint="eastAsia"/>
        </w:rPr>
        <w:t>学生申报课题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如果需要）</w:t>
      </w:r>
      <w:bookmarkEnd w:id="7"/>
    </w:p>
    <w:p w14:paraId="4270393A"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 w14:paraId="67C13473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1步：选择打开“选题管理-学生申报课题”页面或者从首页的“申报课题”进入页面</w:t>
      </w:r>
    </w:p>
    <w:p w14:paraId="2CD42A17">
      <w:pPr>
        <w:spacing w:line="276" w:lineRule="auto"/>
        <w:ind w:firstLine="420" w:firstLineChars="200"/>
      </w:pPr>
      <w:r>
        <w:drawing>
          <wp:inline distT="0" distB="0" distL="114300" distR="114300">
            <wp:extent cx="5273675" cy="2428240"/>
            <wp:effectExtent l="0" t="0" r="952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F9C5"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2步：点击列表左上角的“录入课题”，打开录入课题页面</w:t>
      </w:r>
    </w:p>
    <w:p w14:paraId="0A9F5B7C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以及题目性质（题目类型、题目来源、题目类别），确认后点击“下一步”继续</w:t>
      </w:r>
    </w:p>
    <w:p w14:paraId="2AA99ACA"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68595" cy="24371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05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6A8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*题目类型、题目来源、题目类别是管理员提前已经设置好的可选项</w:t>
      </w:r>
    </w:p>
    <w:p w14:paraId="0FE0B53C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 w14:paraId="36CC29EC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97405" cy="1847850"/>
            <wp:effectExtent l="53340" t="50800" r="59055" b="635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DA70E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 w14:paraId="1631C3C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BDDE3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 w14:paraId="5BBA571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 w14:paraId="61E6107A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 w14:paraId="2482A1F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5468E"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 w14:paraId="3DE45F9F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 w14:paraId="429CC31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*系统提供了2种提交方式，学生可以选择暂时将课题有关信息保存为草稿，也可以直接正式提交</w:t>
      </w:r>
    </w:p>
    <w:p w14:paraId="246C96A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*保存为草稿：仅学生自己可见，并可以继续进行编辑、修改或完善，不影响其他角色的流程；适用于暂时还未确定的课题</w:t>
      </w:r>
    </w:p>
    <w:p w14:paraId="1BB65E0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*正式提交：进入毕业设计（论文）的流程中，可能会被审核、退回等；适用于已经确定的课题</w:t>
      </w:r>
    </w:p>
    <w:p w14:paraId="6CE7D8C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：课题的修改、删除等操作</w:t>
      </w:r>
    </w:p>
    <w:p w14:paraId="0E4B28C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 w14:paraId="463D2E4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*课题正式提交后，在审核前可以自行修改或者删除（此时可以“重选”指导教师）</w:t>
      </w:r>
    </w:p>
    <w:p w14:paraId="69B05502"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54E84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DD47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*课题经过审核，若“审核不通过”，学生只能在原课题基础上“修改后再提交”，作为新课题</w:t>
      </w:r>
    </w:p>
    <w:p w14:paraId="46ECB99E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 w14:paraId="766FC32A">
      <w:pPr>
        <w:pStyle w:val="4"/>
        <w:spacing w:before="156" w:after="156"/>
      </w:pPr>
      <w:bookmarkStart w:id="8" w:name="_Toc28847"/>
      <w:r>
        <w:rPr>
          <w:rFonts w:hint="eastAsia"/>
        </w:rPr>
        <w:t>2</w:t>
      </w:r>
      <w:r>
        <w:t>.2.2选题分析</w:t>
      </w:r>
      <w:bookmarkEnd w:id="8"/>
    </w:p>
    <w:p w14:paraId="63E49C7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1步：选择打开“选题管理-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14:paraId="2061FD5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1F15C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 w14:paraId="3349A5D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 w14:paraId="7EFAF39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 w14:paraId="2290FBD9">
      <w:pPr>
        <w:pStyle w:val="4"/>
        <w:spacing w:before="156" w:after="156"/>
      </w:pPr>
      <w:bookmarkStart w:id="9" w:name="_Toc7693"/>
      <w:r>
        <w:rPr>
          <w:rFonts w:hint="eastAsia"/>
        </w:rPr>
        <w:t>2</w:t>
      </w:r>
      <w:r>
        <w:t>.2.3学生选题</w:t>
      </w:r>
      <w:bookmarkEnd w:id="9"/>
    </w:p>
    <w:p w14:paraId="26025CE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 w14:paraId="29B850DF">
      <w:pPr>
        <w:pStyle w:val="5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 w14:paraId="6EC61E79"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 w14:paraId="4CA559A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步：选择“选题管理-学生选题”打开页面，或者在学生首页点击“学生选题”打开页面</w:t>
      </w:r>
    </w:p>
    <w:p w14:paraId="73C083D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150" cy="2054225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940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C63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14:paraId="40A8FF2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1B502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 w14:paraId="783920F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14:paraId="671533BF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 w14:paraId="4B3F34E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 w14:paraId="0020503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2B5B7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 w14:paraId="4364CBF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 w14:paraId="0211FB9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 w14:paraId="3EFD9AD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BBA9A">
      <w:pPr>
        <w:pStyle w:val="3"/>
      </w:pPr>
      <w:bookmarkStart w:id="10" w:name="_Toc8226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提交开题报告</w:t>
      </w:r>
      <w:r>
        <w:rPr>
          <w:rFonts w:hint="eastAsia"/>
        </w:rPr>
        <w:t>、中期检查、指导记录</w:t>
      </w:r>
      <w:bookmarkEnd w:id="10"/>
    </w:p>
    <w:p w14:paraId="2E060890">
      <w:pPr>
        <w:pStyle w:val="4"/>
        <w:spacing w:before="156" w:after="156"/>
      </w:pPr>
      <w:bookmarkStart w:id="11" w:name="_Toc30537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1"/>
    </w:p>
    <w:p w14:paraId="31560C1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步：选择“开题管理-提交开题报告”打开页面，或者在学生首页点击“开题报告”后的“查看详情”打开页面</w:t>
      </w:r>
    </w:p>
    <w:p w14:paraId="2F6888D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8595" cy="1975485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107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F01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 w14:paraId="6BB08D4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9C66F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步：等待指导教师和其他配置的各级审核，在审核前，学生可以对开题报告的内容进行修改</w:t>
      </w:r>
    </w:p>
    <w:p w14:paraId="61BFD92B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91E16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 w14:paraId="285ED75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14:paraId="32123EA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 w14:paraId="2306D56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D4999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 w14:paraId="047271A2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4BF8C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14:paraId="637E1AF9">
      <w:pPr>
        <w:spacing w:line="276" w:lineRule="auto"/>
        <w:ind w:firstLine="420" w:firstLineChars="200"/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A292E">
      <w:pPr>
        <w:spacing w:line="276" w:lineRule="auto"/>
        <w:ind w:firstLine="420" w:firstLineChars="200"/>
      </w:pPr>
    </w:p>
    <w:p w14:paraId="14A9364E">
      <w:pPr>
        <w:pStyle w:val="4"/>
        <w:spacing w:before="156" w:after="156"/>
      </w:pPr>
      <w:bookmarkStart w:id="12" w:name="_Toc30204"/>
      <w:bookmarkStart w:id="13" w:name="_Toc9683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提交中期</w:t>
      </w:r>
      <w:bookmarkEnd w:id="12"/>
      <w:r>
        <w:rPr>
          <w:rFonts w:hint="eastAsia"/>
        </w:rPr>
        <w:t>检查</w:t>
      </w:r>
      <w:bookmarkEnd w:id="13"/>
    </w:p>
    <w:p w14:paraId="41AD688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步：选择“中期检查-提交中期检查”打开页面，或者在学生首页的“提交中期检查”栏点击“查看详情”打开页面</w:t>
      </w:r>
    </w:p>
    <w:p w14:paraId="50BC55D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177038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t="107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78E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2764790"/>
            <wp:effectExtent l="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t="7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220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步：根据指导教师和各级审核的结果，进行后续操作</w:t>
      </w:r>
    </w:p>
    <w:p w14:paraId="60DD97DA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若被要求</w:t>
      </w:r>
      <w:r>
        <w:rPr>
          <w:rFonts w:hint="eastAsia" w:asciiTheme="minorEastAsia" w:hAnsiTheme="minorEastAsia"/>
          <w:color w:val="303030"/>
        </w:rPr>
        <w:t>“返回修改”，则学生需要进行修改后再提交，此时需要按原定规则进行审核</w:t>
      </w:r>
    </w:p>
    <w:p w14:paraId="0DC2E8B0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</w:t>
      </w:r>
      <w:r>
        <w:rPr>
          <w:rFonts w:hint="eastAsia" w:asciiTheme="minorEastAsia" w:hAnsiTheme="minorEastAsia"/>
          <w:color w:val="303030"/>
        </w:rPr>
        <w:t>“审核通过”，则表示学生提交的中期检查的内容通过，后续若再修改，则需要有“允许修改”权限</w:t>
      </w:r>
    </w:p>
    <w:p w14:paraId="1C27A833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14:paraId="25D18AE3">
      <w:pPr>
        <w:pStyle w:val="4"/>
        <w:spacing w:before="156" w:after="156"/>
        <w:rPr>
          <w:rFonts w:hint="eastAsia" w:eastAsia="宋体"/>
          <w:lang w:val="en-US" w:eastAsia="zh-CN"/>
        </w:rPr>
      </w:pPr>
      <w:bookmarkStart w:id="14" w:name="_Toc708"/>
      <w:bookmarkStart w:id="15" w:name="_Toc22949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提交指导</w:t>
      </w:r>
      <w:bookmarkEnd w:id="14"/>
      <w:r>
        <w:rPr>
          <w:rFonts w:hint="eastAsia"/>
          <w:lang w:val="en-US" w:eastAsia="zh-CN"/>
        </w:rPr>
        <w:t>情况</w:t>
      </w:r>
      <w:bookmarkEnd w:id="15"/>
    </w:p>
    <w:p w14:paraId="1E42E82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-提交指导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”打开页面，或者在学生首页的“提交指导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”栏点击“查看详情”打开页面</w:t>
      </w:r>
    </w:p>
    <w:p w14:paraId="71207DE8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3675" cy="2242820"/>
            <wp:effectExtent l="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t="957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4D55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 w14:paraId="484C48EF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 w14:paraId="68F1F3E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14:paraId="035388BE">
      <w:pPr>
        <w:spacing w:line="276" w:lineRule="auto"/>
        <w:ind w:firstLine="420" w:firstLineChars="200"/>
      </w:pPr>
    </w:p>
    <w:p w14:paraId="138EB5D5">
      <w:pPr>
        <w:pStyle w:val="3"/>
        <w:rPr>
          <w:rFonts w:hint="default" w:eastAsia="微软雅黑"/>
          <w:lang w:val="en-US" w:eastAsia="zh-CN"/>
        </w:rPr>
      </w:pPr>
      <w:bookmarkStart w:id="16" w:name="_Toc11664"/>
      <w:r>
        <w:rPr>
          <w:rFonts w:hint="eastAsia"/>
        </w:rPr>
        <w:t>2.4提交毕业设计（论文）</w:t>
      </w:r>
      <w:r>
        <w:rPr>
          <w:rFonts w:hint="eastAsia"/>
          <w:lang w:val="en-US" w:eastAsia="zh-CN"/>
        </w:rPr>
        <w:t>答辩资格审核版</w:t>
      </w:r>
      <w:bookmarkEnd w:id="16"/>
    </w:p>
    <w:p w14:paraId="6D6129E2"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</w:t>
      </w:r>
      <w:r>
        <w:rPr>
          <w:rFonts w:hint="eastAsia" w:asciiTheme="minorEastAsia" w:hAnsiTheme="minorEastAsia"/>
          <w:color w:val="303030"/>
          <w:lang w:val="en-US" w:eastAsia="zh-CN"/>
        </w:rPr>
        <w:t>答辩资格审核版</w:t>
      </w:r>
      <w:r>
        <w:rPr>
          <w:rFonts w:hint="eastAsia" w:asciiTheme="minorEastAsia" w:hAnsiTheme="minorEastAsia"/>
          <w:color w:val="303030"/>
        </w:rPr>
        <w:t>”打开页面，或者在学生首页的“提交毕业设计（论文）</w:t>
      </w:r>
      <w:r>
        <w:rPr>
          <w:rFonts w:hint="eastAsia" w:asciiTheme="minorEastAsia" w:hAnsiTheme="minorEastAsia"/>
          <w:color w:val="303030"/>
          <w:lang w:val="en-US" w:eastAsia="zh-CN"/>
        </w:rPr>
        <w:t>答辩资格审核版</w:t>
      </w:r>
      <w:r>
        <w:rPr>
          <w:rFonts w:hint="eastAsia" w:asciiTheme="minorEastAsia" w:hAnsiTheme="minorEastAsia"/>
          <w:color w:val="303030"/>
        </w:rPr>
        <w:t>”打开页面。</w:t>
      </w:r>
    </w:p>
    <w:p w14:paraId="761F0376"/>
    <w:p w14:paraId="62241940">
      <w:r>
        <w:drawing>
          <wp:inline distT="0" distB="0" distL="114300" distR="114300">
            <wp:extent cx="5260975" cy="2225675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rcRect t="945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6931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步：输入关键词等内容，添加待上传的初稿，选择是否添加附件或其他内容（比如网址链接等），进行提交（提交后审核前，学生可以进行修改）</w:t>
      </w:r>
    </w:p>
    <w:p w14:paraId="7649B11D"/>
    <w:p w14:paraId="1D20FAC4">
      <w:pPr>
        <w:pStyle w:val="3"/>
        <w:rPr>
          <w:rFonts w:hint="default" w:eastAsia="微软雅黑"/>
          <w:lang w:val="en-US" w:eastAsia="zh-CN"/>
        </w:rPr>
      </w:pPr>
      <w:bookmarkStart w:id="17" w:name="_Toc16139"/>
      <w:bookmarkStart w:id="18" w:name="_Toc6812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t>提交毕业设计</w:t>
      </w:r>
      <w:r>
        <w:rPr>
          <w:rFonts w:hint="eastAsia"/>
        </w:rPr>
        <w:t>（论文）最终版</w:t>
      </w:r>
      <w:bookmarkEnd w:id="1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需PDF版）</w:t>
      </w:r>
      <w:bookmarkEnd w:id="18"/>
    </w:p>
    <w:p w14:paraId="6ED25C81"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步：选择“提交论文-提交毕业设计（论文）最终版”，或者在学生首页的“提交毕设论文”栏的“提交毕业设计（论文）最终版”打开页面。</w:t>
      </w:r>
    </w:p>
    <w:p w14:paraId="17DB28C7"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打开页面，选择提交文档。</w:t>
      </w:r>
    </w:p>
    <w:p w14:paraId="73272E77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步：输入关键词等内容，添加待上传的论文，选择是否添加附件或其他内容（比如网址链接等），进行提交（提交后审核前，学生可以进行修改）</w:t>
      </w:r>
    </w:p>
    <w:p w14:paraId="5491B558"/>
    <w:p w14:paraId="78F1FCE4">
      <w:r>
        <w:drawing>
          <wp:inline distT="0" distB="0" distL="114300" distR="114300">
            <wp:extent cx="5271135" cy="2105025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rcRect t="102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8550"/>
    <w:p w14:paraId="7365C77A">
      <w:pPr>
        <w:pStyle w:val="3"/>
      </w:pPr>
      <w:bookmarkStart w:id="19" w:name="_Toc13376"/>
      <w:r>
        <w:rPr>
          <w:rFonts w:hint="eastAsia"/>
        </w:rPr>
        <w:t>2</w:t>
      </w:r>
      <w:r>
        <w:t>.</w:t>
      </w:r>
      <w:r>
        <w:rPr>
          <w:rFonts w:hint="eastAsia"/>
        </w:rPr>
        <w:t>6</w:t>
      </w:r>
      <w:r>
        <w:t>提交毕业设计</w:t>
      </w:r>
      <w:r>
        <w:rPr>
          <w:rFonts w:hint="eastAsia"/>
        </w:rPr>
        <w:t>（论文）盲审版</w:t>
      </w:r>
      <w:r>
        <w:rPr>
          <w:rFonts w:hint="eastAsia" w:asciiTheme="minorEastAsia" w:hAnsiTheme="minorEastAsia"/>
          <w:color w:val="303030"/>
          <w:lang w:eastAsia="zh-CN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需PDF版）</w:t>
      </w:r>
      <w:bookmarkEnd w:id="19"/>
    </w:p>
    <w:p w14:paraId="41EFBA8A"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步：选择“提交论文-提交毕业设计（论文）盲审版”打开页面，选择提交文档。</w:t>
      </w:r>
    </w:p>
    <w:p w14:paraId="6C0C93BD"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 xml:space="preserve">         打开页面，选择提交文档。</w:t>
      </w:r>
    </w:p>
    <w:p w14:paraId="289A7F78">
      <w:pPr>
        <w:ind w:firstLine="420" w:firstLineChars="200"/>
        <w:rPr>
          <w:rFonts w:asciiTheme="minorEastAsia" w:hAnsiTheme="minorEastAsia"/>
          <w:color w:val="303030"/>
        </w:rPr>
      </w:pPr>
    </w:p>
    <w:p w14:paraId="7EADB0E4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步：输入关键词等内容，添加待上传的论文，选择是否添加附件或其他内容（比如网址链接等），进行提交（提交后审核前，学生可以进行修改）</w:t>
      </w:r>
    </w:p>
    <w:p w14:paraId="2523EA66">
      <w:pPr>
        <w:rPr>
          <w:rFonts w:asciiTheme="minorEastAsia" w:hAnsiTheme="minorEastAsia"/>
          <w:color w:val="303030"/>
        </w:rPr>
      </w:pPr>
    </w:p>
    <w:p w14:paraId="28ADBEB9">
      <w:r>
        <w:drawing>
          <wp:inline distT="0" distB="0" distL="114300" distR="114300">
            <wp:extent cx="5262880" cy="1864995"/>
            <wp:effectExtent l="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rcRect t="104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8FFC"/>
    <w:p w14:paraId="4E18B43D"/>
    <w:p w14:paraId="6C9CCA10">
      <w:pPr>
        <w:pStyle w:val="3"/>
        <w:rPr>
          <w:rFonts w:hint="eastAsia" w:eastAsia="微软雅黑"/>
          <w:lang w:val="en-US" w:eastAsia="zh-CN"/>
        </w:rPr>
      </w:pPr>
      <w:bookmarkStart w:id="20" w:name="_Toc17818"/>
      <w:bookmarkStart w:id="21" w:name="_Toc13163"/>
      <w:r>
        <w:rPr>
          <w:rFonts w:hint="eastAsia"/>
        </w:rPr>
        <w:t>2</w:t>
      </w:r>
      <w:r>
        <w:t>.</w:t>
      </w:r>
      <w:r>
        <w:rPr>
          <w:rFonts w:hint="eastAsia"/>
        </w:rPr>
        <w:t>7</w:t>
      </w:r>
      <w:r>
        <w:rPr>
          <w:rFonts w:hint="eastAsia"/>
          <w:lang w:val="en-US" w:eastAsia="zh-CN"/>
        </w:rPr>
        <w:t xml:space="preserve"> 参与</w:t>
      </w:r>
      <w:r>
        <w:t>答辩</w:t>
      </w:r>
      <w:bookmarkEnd w:id="20"/>
      <w:bookmarkEnd w:id="21"/>
    </w:p>
    <w:p w14:paraId="201A42ED"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 w14:paraId="4E1ED7D7"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</w:t>
      </w:r>
      <w:r>
        <w:rPr>
          <w:rFonts w:hint="eastAsia" w:asciiTheme="minorEastAsia" w:hAnsiTheme="minorEastAsia"/>
          <w:color w:val="303030"/>
          <w:lang w:val="en-US" w:eastAsia="zh-CN"/>
        </w:rPr>
        <w:t>答辩</w:t>
      </w:r>
      <w:r>
        <w:rPr>
          <w:rFonts w:hint="eastAsia" w:asciiTheme="minorEastAsia" w:hAnsiTheme="minorEastAsia"/>
          <w:color w:val="303030"/>
        </w:rPr>
        <w:t>管理-查看我参加的答辩”打开页面查看被安排参与的答辩情况，或者从学生首页进入页面</w:t>
      </w:r>
    </w:p>
    <w:p w14:paraId="081856A6"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 w14:paraId="24A8F3EC"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 w14:paraId="6A6B096E">
      <w:pPr>
        <w:spacing w:line="276" w:lineRule="auto"/>
        <w:ind w:firstLine="420" w:firstLineChars="200"/>
      </w:pPr>
      <w:r>
        <w:drawing>
          <wp:inline distT="0" distB="0" distL="114300" distR="114300">
            <wp:extent cx="5266055" cy="1911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t="100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DE68">
      <w:pPr>
        <w:spacing w:line="276" w:lineRule="auto"/>
        <w:ind w:firstLine="420" w:firstLineChars="200"/>
      </w:pPr>
    </w:p>
    <w:p w14:paraId="2D84BFFF">
      <w:pPr>
        <w:spacing w:line="276" w:lineRule="auto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1Mzc4ZDJmYzM4Y2YwN2YwNjNmNjg2YzU3YzIxMTY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A0A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196A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3A1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2081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A7F23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4816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254060E"/>
    <w:rsid w:val="06F668D6"/>
    <w:rsid w:val="07993B77"/>
    <w:rsid w:val="09F22AC3"/>
    <w:rsid w:val="0C4F6EBB"/>
    <w:rsid w:val="11581D0C"/>
    <w:rsid w:val="17B56733"/>
    <w:rsid w:val="2F4061A1"/>
    <w:rsid w:val="33005B5B"/>
    <w:rsid w:val="3B9C7F35"/>
    <w:rsid w:val="3CE42ACB"/>
    <w:rsid w:val="3FE613FD"/>
    <w:rsid w:val="432F4BB7"/>
    <w:rsid w:val="45740321"/>
    <w:rsid w:val="4E0E27A1"/>
    <w:rsid w:val="4EC87E1F"/>
    <w:rsid w:val="527F1798"/>
    <w:rsid w:val="5B2D4DE3"/>
    <w:rsid w:val="5CA64546"/>
    <w:rsid w:val="62105B46"/>
    <w:rsid w:val="66E32132"/>
    <w:rsid w:val="6CC87189"/>
    <w:rsid w:val="72B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line="360" w:lineRule="auto"/>
      <w:outlineLvl w:val="0"/>
    </w:pPr>
    <w:rPr>
      <w:rFonts w:eastAsia="微软雅黑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 w:asciiTheme="minorHAnsi" w:hAnsiTheme="minorHAns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批注框文本 字符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96A12-4D12-4451-AE36-98900E24D1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2935</Words>
  <Characters>3104</Characters>
  <Lines>30</Lines>
  <Paragraphs>8</Paragraphs>
  <TotalTime>6</TotalTime>
  <ScaleCrop>false</ScaleCrop>
  <LinksUpToDate>false</LinksUpToDate>
  <CharactersWithSpaces>3173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2021-09-17T02:10:00Z</dcterms:created>
  <dc:creator>shenyanhbxf@126.com</dc:creator>
  <cp:lastModifiedBy>吴泳强</cp:lastModifiedBy>
  <dcterms:modified xsi:type="dcterms:W3CDTF">2024-11-05T02:06:31Z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3C7ACF8759954885B2BE4281218D5EC2_13</vt:lpwstr>
  </property>
</Properties>
</file>